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2D6" w:rsidRPr="002A580A" w:rsidRDefault="002862D6" w:rsidP="002862D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36"/>
          <w:szCs w:val="36"/>
        </w:rPr>
      </w:pPr>
      <w:r w:rsidRPr="002A580A">
        <w:rPr>
          <w:rFonts w:ascii="Times New Roman" w:eastAsia="Times New Roman" w:hAnsi="Times New Roman"/>
          <w:b/>
          <w:bCs/>
          <w:sz w:val="36"/>
          <w:szCs w:val="36"/>
        </w:rPr>
        <w:t>МИНИСТЕРСТВО ОБРАЗОВАНИЯ И НАУКИ РОССИЙСКОЙ ФЕДЕРАЦИИ</w:t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  <w:t>ДЕПАРТАМЕНТ ОБЩЕГО ОБРАЗОВАНИЯ</w:t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  <w:t>ПИСЬМО</w:t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  <w:t>от 28 февраля 2014 г. N 08-249</w:t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</w:r>
      <w:r w:rsidRPr="002A580A">
        <w:rPr>
          <w:rFonts w:ascii="Times New Roman" w:eastAsia="Times New Roman" w:hAnsi="Times New Roman"/>
          <w:b/>
          <w:bCs/>
          <w:sz w:val="36"/>
          <w:szCs w:val="36"/>
        </w:rPr>
        <w:br/>
        <w:t>КОММЕНТАРИИ К ФГОС ДОШКОЛЬНОГО ОБРАЗОВАНИЯ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Во исполнение </w:t>
      </w:r>
      <w:hyperlink r:id="rId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пункта 1.3 раздела I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Плана действий по обеспечению введения Федерального государственного образовательного стандарта дошкольного образования Министерства образования и науки Российской Федерации (утвержденного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 xml:space="preserve"> П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ервым заместителем Министра образования и науки Российской Федерации Н.В. Третьяк 31 декабря 2013 г.) Департамент государственной политики в сфере общего образования Минобрнауки России направляет </w:t>
      </w:r>
      <w:hyperlink r:id="rId5" w:anchor="p22" w:tooltip="Ссылка на текущий документ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комментарии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по отдельным вопросам введения федерального государственного образовательного </w:t>
      </w:r>
      <w:hyperlink r:id="rId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стандарта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дошкольного образования, утвержденного приказом Минобрнауки России от 17 октября 2013 г. N 1155 (зарегистрирован в Минюсте России 14 ноября 2013 г. N 30384).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Настоящие </w:t>
      </w:r>
      <w:hyperlink r:id="rId7" w:anchor="p22" w:tooltip="Ссылка на текущий документ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комментарии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были разработаны ФГАУ "Федеральный институт развития образования" на основе вопросов, возникающих у руководителей и специалистов органов государственной власти субъектов Российской Федерации, осуществляющих государственное управление в сфере образования, руководителей образовательных организаций, реализующих образовательные программы дошкольного образования и практических работников дошкольного образования.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Заместитель директора Департамента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Ю.В.СМИРНОВА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Приложение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КОММЕНТАРИИ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К ФЕДЕРАЛЬНОМУ ГОСУДАРСТВЕННОМУ ОБРАЗОВАТЕЛЬНОМУ СТАНДАРТУ</w:t>
      </w:r>
    </w:p>
    <w:p w:rsidR="002862D6" w:rsidRPr="002A580A" w:rsidRDefault="002862D6" w:rsidP="002862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ДОШКОЛЬНОГО ОБРАЗОВАНИЯ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 пункта 1.3 подпункта 2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данном </w:t>
      </w:r>
      <w:hyperlink r:id="rId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Федерального государственного образовательного стандарта дошкольного образования (далее - ФГОС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Стандарт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) содержится указание на разные возрастные возможности детей при разработке и реализации образовательной программы (далее - Программа) в организации, осуществляющей образовательную деятельность (далее - Организация). На практике чаще всего (в условиях организации одновозрастных </w:t>
      </w:r>
      <w:r w:rsidRPr="002A580A">
        <w:rPr>
          <w:rFonts w:ascii="Times New Roman" w:eastAsia="Times New Roman" w:hAnsi="Times New Roman"/>
          <w:sz w:val="24"/>
          <w:szCs w:val="24"/>
        </w:rPr>
        <w:lastRenderedPageBreak/>
        <w:t>групп) Программа формируется для детей разного возраста, с разбивкой на этапы освоения: начальный - для детей раннего (младенческого) возраста, завершающий - старшего дошкольного возраста. Разнообразие возрастных возможностей детей требует создания разных условий, что учитывается требованиями Стандарта. В то же время, данная норма фиксирует приоритет индивидуальных возможностей и интересов ребенка перед содержанием Программы на том или ином этапе ее освоения в группе детей, например, при появлении ребенка в группе детского сада в середине/конце освоения Программы группой. В этом случае педагоги должны ориентироваться на интересы, возможности и склонности ребенка, а не на содержание текущего этапа Программы.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1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 пункта 2.2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данным </w:t>
      </w:r>
      <w:hyperlink r:id="rId1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Стандарта, а также с </w:t>
      </w:r>
      <w:hyperlink r:id="rId1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13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(приказ Минобрнауки России от 30 августа 2013 г. N 1014) группы различной направленности (общеразвивающей, компенсирующей, оздоровительной или комбинированной), являющиеся структурными подразделениями дошкольной образовательной организации (далее - ДОО) и ведущие образовательную деятельность, могут реализовывать разные образовательные программы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в соответствии с требованиями ФГОС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и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с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учетом примерных основных образовательных программ дошкольного образования. При реализации нескольких образовательных программ дошкольного образования каждая из них должна быть утверждена Организацией и соответствовать требованиям </w:t>
      </w:r>
      <w:hyperlink r:id="rId1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пункта 9 статьи 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Федерального закона "Об образовании в Российской Федерации" от 29 декабря 2012 г. N 273-ФЗ (далее - Закон). При этом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если образовательная программа для отдельной группы ДОО разрабатывается с использованием примерной основной образовательной программы, обязательная часть образовательной программы группы в соответствии с </w:t>
      </w:r>
      <w:hyperlink r:id="rId1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2.12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ФГОС ДО может быть оформлена в виде ссылки на соответствующую примерную основную образовательную программу.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 xml:space="preserve">Часть программы, формируемая участниками образовательных отношений, в соответствии с </w:t>
      </w:r>
      <w:hyperlink r:id="rId1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2.12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ФГОС ДО также может быть оформлена в виде ссылки на соответствующую методическую литературу, представляющую парциальные программы и/или методические разработки, используемые группой при реализации этой части программы.</w:t>
      </w:r>
      <w:proofErr w:type="gramEnd"/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Если образовательная программа группы разрабатывается исключительно на основании требований ФГОС ДО без учета примерной (примерных) программ, то обязательная часть и часть, формируемая участниками образовательного процесса, разрабатываются в соответствии с требованиями </w:t>
      </w:r>
      <w:hyperlink r:id="rId1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пункта 2.11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ФГОС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>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1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 пункта 2.5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Данная </w:t>
      </w:r>
      <w:hyperlink r:id="rId1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норма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предполагает, что при разработке образовательной программы (программ) конкретной Организации могут использоваться примерные основные образовательные программы дошкольного образования, входящие в реестр примерных основных образовательных программ (</w:t>
      </w:r>
      <w:hyperlink r:id="rId1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статья 12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Закона). Организация (группа) может разрабатывать программы самостоятельно, не опираясь на какую (какие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)-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либо примерные программы. Употребленный в данном </w:t>
      </w:r>
      <w:hyperlink r:id="rId2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, а также в </w:t>
      </w:r>
      <w:hyperlink r:id="rId2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Законе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термин "с учетом" означает право и предоставленную Организации возможность ознакомиться с существующими примерными программами, оценить их пригодность для своей образовательной деятельности и принять решение об использовании или неиспользовании данных примерных программ при разработке программы (программ) ДОО.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 xml:space="preserve">Выбор режима работы дошкольной группы осуществляется Организацией самостоятельно (с учетом объема решаемых задач, мнений участников образовательных отношений). Таким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образом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обеспечивается соответствие организационных особенностей реализации Программы ее содержанию. Для обеспечения бюджетного финансирования всего времени работы педагогического и учебно-вспомогательного персонала в группе продолжительность реализации Программы в сутки должна соответствовать выбранному режиму работы группы, что должно быть отражено в Программе. При функционировании в Организации групп с несколькими различными режимами пребывания детей Программа должна учитывать возможность ее реализации в соответствующих группах, либо для каждого режима должны быть разработаны соответствующие программы (при этом различия этих программ могут быть незначительны). Право реализации нескольких основных общеобразовательных программ закреплено </w:t>
      </w:r>
      <w:hyperlink r:id="rId2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статьей 12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Закона. Программа может соответствовать любому режиму работы группы, не превышающему 14 часов в сутки. В случае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,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если режим работы группы превышает 14 часов в сутки, Программа реализуется не более 14 часов от всего времени пребывания детей.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Реализация программы не подразумевает ограничений на оказание дополнительных платных образовательных услуг воспитанникам.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 xml:space="preserve">Получение воспитанниками таких услуг должно регламентироваться договорами (в соответствии с утвержденной примерной формой договора об образовании по образовательным программам дошкольного образования, </w:t>
      </w:r>
      <w:hyperlink r:id="rId2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приказ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Минобрнауки России от 13 января 2014 г. N 8 (направлен в Минюст России на государственную регистрацию).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В случае если Программа реализуется в течение всего времени пребывания детей в Организации (продолжительность работы группы соответствует продолжительности реализации Программы) получение воспитанником дополнительной платной услуги может осуществляться одновременно с реализацией Программы в группе при условии фактического отсутствия воспитанника в группе. Поскольку дошкольное образование не является обязательным, родители (законные представители) воспитанника используют свое право на выбор формы получения ребенком образования и Организации, осуществляющей образовательную деятельность. При этом, в случае если хотя бы один ребенок фактически остается в группе, реализация Программы в ней не прекращается,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прерывается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лишь получение образования воспитанником, получающим дополнительную услугу. Поскольку дополнительное образование детей также является важным элементом развития детей, и ограничение их в его получении неконституционно, Организация не может повлиять на решение родителей о порядке посещения ребенком дошкольной группы. Независимо от количества детей в группе для обеспечения реализации Программы требуется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создать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в том числе необходимые кадровые условия. При этом финансовое обеспечение кадровых условий определяется в зависимости от нормативного количества детей в группе. Следовательно, временное отсутствие ребенка в группе по причине получения дополнительной образовательной услуги не может рассматриваться в качестве основания для пересмотра нормативов финансирования. Также, фактическое финансирование реализации Программы через обеспечение создания требуемых условий означает, что временное отсутствие ребенка в группе, не влияющее на изменение условий реализации Программы, не должно рассматриваться как нецелевое использование бюджетных средств. В то же время, вопрос параллельного освоения Программы и дополнительных общеобразовательных программ в одной Организации должен регулироваться локальными нормативными правовыми актами такой Организации.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2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 пункта 2.7 (первый абзац)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Указанная </w:t>
      </w:r>
      <w:hyperlink r:id="rId2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норма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означает, что содержание образовательной программы (программ) ДОО не должно быть заранее расписано по конкретным образовательным областям, поскольку </w:t>
      </w:r>
      <w:r w:rsidRPr="002A580A">
        <w:rPr>
          <w:rFonts w:ascii="Times New Roman" w:eastAsia="Times New Roman" w:hAnsi="Times New Roman"/>
          <w:sz w:val="24"/>
          <w:szCs w:val="24"/>
        </w:rPr>
        <w:lastRenderedPageBreak/>
        <w:t xml:space="preserve">оно определяется конкретной ситуацией в группе, а именно: индивидуальными склонностями детей, их интересами, особенностями развития. Педагоги, работающие по программам, ориентированным на ребенка, обычно формируют содержание по ходу образовательной деятельности, решая задачи развития детей в зависимости от сложившейся образовательной ситуации, опираясь на интересы отдельного ребенка или группы детей. Это означает, что конкретное содержание образовательной программы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выполняет роль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средства развития, подбирается по мере постановки и решения развивающих задач и не всегда может быть задано заранее. Кроме того, на практике конкретное содержание образовательной деятельности обычно обеспечивает развитие детей одновременно в разных областях - например, в области социально-коммуникативного, познавательного и речевого развития, или социально-коммуникативного, художественно эстетического и физического развития и т.д. Таким образом,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разных образовательных областях.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В то же время, существуют примерные программы, которые подробно расписывают определенное образовательное содержание. Если Организация принимает за основу своей Программы такую примерную программу, следует сделать ссылку именно на эту Программу.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2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 пункта 2.9 (второй абзац)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Данная </w:t>
      </w:r>
      <w:hyperlink r:id="rId2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статья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ФГОС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подчеркивает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взаимодополняющий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характер детского развития в пяти образовательных областях.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2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 пункта 2.10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Соотношение частей образовательной программы носит рекомендательный характер и призвано примерно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оценить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пропорцию между обязательной частью программы и частью, формируемой участниками образовательных отношений. Надо иметь в виду, что необязательный характер уровня дошкольного образования не позволяет устанавливать жесткое соотношение частей программы ДОО. Стандарт ориентирован на поддержку образовательной деятельности ДОО как программы позитивной социализации и индивидуализации детей дошкольного возраста, предполагающей организацию образовательной деятельности в зависимости от индивидуальных особенностей каждого ребенка, что затрудняет строгое определение объема обязательной части программы в ДОО.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2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3.1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данном </w:t>
      </w:r>
      <w:hyperlink r:id="rId3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употребляются два сходных термина, которые, тем не менее, относятся к разному содержанию и которые следует различать: "развивающая предметно-пространственная среда" и "образовательная среда".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Развивающая предметно-пространственная среда - это специфические для каждой Программы Организации (группы) образовательное оборудование, материалы, мебель и т.п., в сочетании с определенными принципами разделения пространства Организации (группы).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Под образовательной средой подразумевается весь комплекс условий, которые обеспечивают развитие детей в дошкольной образовательной организации, в том числе </w:t>
      </w:r>
      <w:r w:rsidRPr="002A580A">
        <w:rPr>
          <w:rFonts w:ascii="Times New Roman" w:eastAsia="Times New Roman" w:hAnsi="Times New Roman"/>
          <w:sz w:val="24"/>
          <w:szCs w:val="24"/>
        </w:rPr>
        <w:lastRenderedPageBreak/>
        <w:t>развивающая предметно-пространственная среда, взаимодействие между педагогами и детьми, детская игра, развивающее предметное содержание образовательных областей и другие условия, перечисленные в Стандарте.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3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3.2.2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и к </w:t>
      </w:r>
      <w:hyperlink r:id="rId3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3.4.4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3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частью 3 статьи 79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 под специальными условиями для получения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образования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обучающимися с ограниченными возможностями здоровья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необходимую техническую помощь, проведение групповых и индивидуальных коррекционных занятий, обеспечение доступа в здания Организаций и другие условия, без которых невозможно или затруднено освоение Программ обучающимися с ограниченными возможностями здоровья.</w:t>
      </w:r>
      <w:proofErr w:type="gramEnd"/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Федеральным </w:t>
      </w:r>
      <w:hyperlink r:id="rId3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законом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от 24 ноября 1995 г. N 181-ФЗ "О социальной защите инвалидов в Российской Федерации" (далее - Федеральный закон N 181-ФЗ) специальные условия должны быть внесены в индивидуальную программу реабилитации инвалида (далее - ИПР). ИПР является обязательной для исполнения всеми без исключения органами и организациями. </w:t>
      </w:r>
      <w:hyperlink r:id="rId3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Порядок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разработки индивидуальной программы реабилитации инвалида утвержден приказом Министерства здравоохранения и социального развития Российской Федерации от 4 августа 2008 г. N 379н.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 xml:space="preserve">Объем и содержание услуг ассистента (помощника), оказывающего обучающимся необходимую техническую помощь, определяются Индивидуальной </w:t>
      </w:r>
      <w:hyperlink r:id="rId3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программой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реабилитации инвалида (перечень реабилитационных мероприятий, направленных на восстановление способностей инвалида к бытовой, общественной, профессиональной деятельности в соответствии со структурой его потребностей, кругом интересов и уровнем притязаний (Постановление Министерства труда и социального развития Российской Федерации от 14 декабря 1996 г. N 14).</w:t>
      </w:r>
      <w:proofErr w:type="gramEnd"/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3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3.2.3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Оценка индивидуального развития детей представлена в Стандарте в двух формах диагностики - педагогической и психологической. Под педагогической диагностикой понимается такая оценка развития детей, которая необходима педагогу, непосредственно работающему с детьми, для получения "обратной связи" в процессе взаимодействия с ребенком или с группой детей. При этом согласно данной </w:t>
      </w:r>
      <w:hyperlink r:id="rId3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 такая оценка индивидуального развития детей, прежде всего, является профессиональным инструментом педагога, которым он может воспользоваться при необходимости получения им информации об уровне актуального развития ребенка или о динамике такого развития по мере реализации Программы.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</w:t>
      </w:r>
      <w:hyperlink r:id="rId3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предусмотрены задачи, для решения которых могут использоваться результаты педагогической диагностики: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1. индивидуализация образования, которая может предполагать поддержку ребенка, построение его образовательной траектории или коррекцию его развития в рамках профессиональной компетенции педагога;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>2. оптимизация работы с группой детей.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Педагог имеет право по собственному выбору или на основе консультаций со специалистами использовать имеющиеся различные рекомендации по проведению такой оценки в рамках педагогической диагностики в группе Организации или проводить ее самостоятельно. Данные, полученные в результате такой оценки, также являются профессиональными материалами самого педагога и не подлежат проверке в процессе контроля и надзора. Та или иная степень обязательности проведения педагогом педагогической диагностики определяется Программой. При этом проведение педагогической диагностики не может быть вменено в обязанность педагогу, если не созданы условия для ее проведения, включая обеспечение специального обучения. Контроль за эффективностью деятельности педагога, которая, в том числе, может включать педагогическую оценку, может проводиться в процессе независимой оценки качества образования в Организации (</w:t>
      </w:r>
      <w:hyperlink r:id="rId4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подпункт 4 пункта 1.7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ФГОС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ДО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; </w:t>
      </w:r>
      <w:hyperlink r:id="rId41" w:history="1">
        <w:proofErr w:type="gramStart"/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статья</w:t>
        </w:r>
        <w:proofErr w:type="gramEnd"/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 xml:space="preserve"> 95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Психологическую диагностику индивидуального развития ребенка проводят по мере необходимости квалифицированные специалисты - психологи и/или педагоги-психологи. Ее результаты используются для квалифицированной коррекции развития детей или для решения задач психологического сопровождения развития ребенка (группы детей).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Для участия ребенка в психологической диагностике в обязательном порядке требуется согласие его родителей (законных представителей). Если Организация является экспериментальной площадкой (участником) относительно длительной исследовательской программы, этот факт должен быть отражен в Договоре между Организацией и родителями (законными представителями) ребенка с целью получения их информированного согласия на постоянное исследование развития ребенка.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4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Положением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о психолого-медико-педагогической комиссии, утвержденным приказом Минобрнауки России от 20 сентября 2013 г. N 1082, ребенку с ограниченными возможностями здоровья необходимо пройти обследование на заседании психолого-медико-педагогической комиссии (далее - ПМПК) и получить рекомендации.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4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10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вышеуказанного Положения основными направлениями деятельности комиссии являются: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а) проведение обследования детей в возрасте от 0 до 18 лет в целях своевременного выявления особенностей в физическом и (или) психическом развитии и (или) отклонений в поведении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б) подготовка по результатам обследования рекомендаций по оказанию детям психолого-медико-педагогической помощи и организации их обучения и воспитания, подтверждение, уточнение или изменение ранее данных комиссией рекомендаций;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в) оказание консультативной помощи родителям (законным представителям) детей, работникам образовательных организаций, организаций, осуществляющих социальное обслуживание, медицинских организаций, других организаций по вопросам воспитания, обучения и коррекции нарушений развития детей с ограниченными возможностями здоровья и (или) девиантным (общественно опасным) поведением;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г) оказание федеральным учреждениям медико-социальной экспертизы содействия в разработке индивидуальной программы реабилитации ребенка-инвалида;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>д) осуществление учета данных о детях с ограниченными возможностями здоровья и (или) девиантным (общественно опасным) поведением, проживающих на территории деятельности комиссии;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е) участие в организации информационно-просветительской работы с населением в области предупреждения и коррекции недостатков в физическом и (или) психическом развитии и (или) отклонений в поведении детей.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4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23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Положения заключение комиссии действительно для представления в указанные органы и организации в течение календарного года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с даты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его подписания.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Педагогическая оценка индивидуального развития ребенка направлена, прежде всего, на определение наличия условий для развития ребенка в соответствии с его возрастными особенностями, возможностями и индивидуальными склонностями. В отличие от заключения психолого-медико-педагогической комиссии (далее - ПМПК), она не призвана выявлять особенности в физическом и (или) психическом развитии и (или) отклонений в поведении детей.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4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3.2.4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Предельная наполняемость Группы (включающей, в том числе, детей с ограниченными возможностями здоровья) определяется в соответствии с санитарно-эпидемиологическими правилами и нормативами.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4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постановлением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Главного государственного санитарного врача Российской Федерации от 15 мая 2013 г. N 26 "Об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организаций":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1.11. Рекомендуемое количество детей в группах компенсирующей направленности для детей до 3 лет и старше 3 лет соответственно не должно превышать: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тяжелыми нарушениями речи - 6 и 10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фонетико-фонематическими нарушениями речи в возрасте старше 3 лет - 12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глухих детей - 6 детей для обеих возрастных групп;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слабослышащих детей - 6 и 8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слепых детей - 6 детей для обеих возрастных групп;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слабовидящих детей, для детей с амблиопией, косоглазием - 6 и 10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нарушениями опорно-двигательного аппарата - 6 и 8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задержкой психического развития - 6 и 10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умственной отсталостью легкой степени - 6 и 10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>- для детей с умственной отсталостью умеренной, тяжелой в возрасте старше 3 лет - 8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аутизмом только в возрасте старше 3 лет - 5 детей;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со сложным дефектом (имеющих сочетание 2 или более недостатков в физическом и (или) психическом развитии) - 5 детей для обеих возрастных групп;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для детей с иными ограниченными возможностями здоровья - 10 и 15 детей. Допускается организовывать разновозрастные (смешанные) группы детей в дошкольных образовательных организациях компенсирующей направленности с учетом возможности организации в них режима дня, соответствующего анатомо-физиологическим особенностям каждой возрастной группы.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1.12. В дошкольных образовательных организациях организация групп комбинированной направленности, реализующих совместное образование здоровых детей и детей с ограниченными возможностями, осуществляется в соответствии с учетом особенностей психофизического развития и возможностей воспитанников.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Рекомендуемое количество детей в группах комбинированной направленности: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а) до 3 лет - не более 10 детей, в том числе не более 3 детей с ограниченными возможностями здоровья;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б) старше 3 лет: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тяжелой, или детей со сложным дефектом;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не более 15 детей, в том числе не более 4 слабовидящих и (или) детей с амблиопией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- не более 17 детей, в том числе не более 5 детей с задержкой психического развития.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4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3.2.6 подпункта 1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Полномочия по финансовому обеспечению создания в организации условий для дополнительного профессионального образования педагогических работников (</w:t>
      </w:r>
      <w:hyperlink r:id="rId4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часть 2 статьи 99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Закона) относятся к полномочиям субъектов Российской Федерации. Необходимые средства должны быть доведены до Организации (государственной, муниципальной или частной) в составе норматива затрат, либо заложены в смету казенного учреждения. При этом, объем финансового обеспечения образования педагогических работников должен обеспечивать возможности для организации как по созданию необходимых условий в самой организации (в том числе, оплата замещения временно отсутствующего работника), так и для направления работников на обучение (оплата обучения, командировочные расходы).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4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3.2.7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 xml:space="preserve">В соответствии с </w:t>
      </w:r>
      <w:hyperlink r:id="rId5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частью 1 статьи 79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Закона: "... содержание образования и условия организации обучения и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воспитания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обучающихся с ограниченными возможностями здоровья (далее - ОВЗ) определяются адаптированной образовательной программой, а для инвалидов также в соответствии с индивидуальной программой реабилитации инвалида". В связи с этим, для получения общего образования детьми с ОВЗ в Организациях должны разрабатываться соответствующие адаптированные основные общеобразовательные программы (отдельными документами) с учетом особенностей их психофизического развития и индивидуальных возможностей. Индивидуальную программу реабилитации разрабатывает Бюро медико-социальной экспертизы (в соответствии со </w:t>
      </w:r>
      <w:hyperlink r:id="rId5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статьей 7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Федерального закона N 181-ФЗ). Условия должны быть созданы в соответствии с Рекомендациями ПМПК (</w:t>
      </w:r>
      <w:hyperlink r:id="rId5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приказ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Минобрнауки России от 20 сентября 2013 г. N 1082 "Об утверждении Положения о психолого-медико-педагогической комиссии").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5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3.3.5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</w:t>
      </w:r>
      <w:hyperlink r:id="rId5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2 части 3 статьи 28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 к компетенции образовательной организации отнесено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со Стандартом. Таким образом, Организация самостоятельно утверждает перечень необходимых средств обучения, которые будут использоваться при реализации Программы. При этом средства обучения должны полностью соответствовать требованиям </w:t>
      </w:r>
      <w:hyperlink r:id="rId5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пункта 3.3.4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Стандарта. Для обеспечения возможности Организации осуществлять самостоятельную закупку необходимых средств обучения норматив затрат, в соответствии с которым определяется бюджетное финансирование организации, должны учитываться расходы на приобретение необходимых средств обучения (в соответствии с методическими </w:t>
      </w:r>
      <w:hyperlink r:id="rId5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рекомендациями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>, направленными письмом Минобрнауки России от 1 октября 2013 г. N 08-1408).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5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3.4.1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соответствии с требованиями к кадровому обеспечению Стандарта деятельность руководящих работников, педагогических работников, учебно-вспомогательного персонала, работников, осуществляющих финансовую деятельность, охрану жизни и здоровья детей, необходимо рассматривать в полной мере как деятельность по обеспечению и реализации Программы. </w:t>
      </w:r>
      <w:hyperlink r:id="rId58" w:history="1">
        <w:proofErr w:type="gramStart"/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Номенклатура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должностей руководящих, педагогических и учебно-вспомогательных работников утверждена постановлением Правительства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организаций", а также </w:t>
      </w:r>
      <w:hyperlink r:id="rId5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приказом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Минздравсоцразвития России от 26 августа 2010 г. N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образования".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Таким образом, финансовая ответственность за сопровождение реализации Программы указанными категориями персонала возлагается на органы власти субъектов Российской Федерации, осуществляющие управление в сфере образования, и не может быть переложена на уровень муниципалитетов или родителей. То есть средства на оплату труда указанных категорий персонала должны быть заложены в региональные нормативы затрат. Финансовое обеспечение привлечения к реализации Программы научных работников остается на усмотрение субъекта Российской Федерации.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lastRenderedPageBreak/>
        <w:t xml:space="preserve">В соответствии с пунктом 4 </w:t>
      </w:r>
      <w:hyperlink r:id="rId6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части 2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и </w:t>
      </w:r>
      <w:hyperlink r:id="rId6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частью 3 статьи 28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Закона установление штатного расписания является компетенцией Организации. В то же время Организация должна исходить в первую очередь из задачи обеспечения требований Стандарта.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Для сопровождения реализации Программы на протяжении всего времени реализации (в большинстве случаев соответствующего продолжительности работы группы) в каждой группе должны находиться не менее двух работников, в том числе одного воспитателя (или другого педагогического работника) и помощника воспитателя (младшего воспитателя). Таким образом, дети в любой момент должны находиться с одним или несколькими работниками Организации, принимающими участие в реализации Программы (с педагогическим и/или учебно-вспомогательным работником). При расчете региональных нормативов финансирования необходимо учитывать особенности нагрузки на отдельные должности работников при работе в различных группах, в том числе в группах с различной направленностью Программ, а также особенности работы воспитателей в течение времени их совместного пребывания в Организации: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при оформлении результатов наблюдения (мониторинга) за здоровьем, развитием и воспитанием детей, в том числе с помощью электронных форм;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разработке плана (программы) воспитательной работы;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при участии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 и иных мероприятиях, предусмотренных должностной инструкцией.</w:t>
      </w:r>
      <w:proofErr w:type="gramEnd"/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Необходимо также учитывать, что для эффективного развития детей в выделенных образовательных областях с детьми в течение дня помимо воспитателя должны работать и другие педагогические работники (например, инструкторы по физической культуре, музыкальные руководители, специалисты по художественному и эстетическому воспитанию, педагоги-психологи), а также должна осуществляться методическая поддержка реализации Программы. Для этого Организация самостоятельно устанавливает штатное расписание в пределах выделяемого финансирования. Таким образом, региональные нормативы затрат должны учитывать необходимость покрытия расходов Организации, связанных с привлечением всех категорий работников, предусмотренных </w:t>
      </w:r>
      <w:hyperlink r:id="rId6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пунктом 3.4.1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6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пунктов 3.4.3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и </w:t>
      </w:r>
      <w:hyperlink r:id="rId6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3.4.4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Педагогическими работниками, дополнительно привлекаемыми для обеспечения реализации Программы в группах для детей с ОВЗ (</w:t>
      </w:r>
      <w:hyperlink r:id="rId6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 3.4.3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Стандарта) и в общеразвивающих группах, в которых обучаются дети с ОВЗ (</w:t>
      </w:r>
      <w:hyperlink r:id="rId66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 3.4.3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Стандарта), являются учителя-дефектологи, учителя-логопеды, а также, в случае необходимости, социальные педагоги. Рекомендованное количество соответствующих педагогов в расчете на одну группу (для обоих случаев) составляет 1 ставку на группу.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67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III пункта 3.6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Требования к финансовым условиям определяют закрепление на уровне Стандарта обязательств субъекта Российской Федерации по обеспечению выполнения кадровых требований и требований к предметно-развивающей среде и обязательства </w:t>
      </w:r>
      <w:r w:rsidRPr="002A580A">
        <w:rPr>
          <w:rFonts w:ascii="Times New Roman" w:eastAsia="Times New Roman" w:hAnsi="Times New Roman"/>
          <w:sz w:val="24"/>
          <w:szCs w:val="24"/>
        </w:rPr>
        <w:lastRenderedPageBreak/>
        <w:t xml:space="preserve">муниципалитета по финансовому обеспечению организации реализации Программы в учреждениях. При этом подробное распределение региональных и местных обязательств разъясняется </w:t>
      </w:r>
      <w:hyperlink r:id="rId68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письмом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Минобрнауки России от 1 октября 2013 г. N 08-1408.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69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IV пункта 4.3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Данная </w:t>
      </w:r>
      <w:hyperlink r:id="rId70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статья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 в соответствии с положениями </w:t>
      </w:r>
      <w:hyperlink r:id="rId71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Закона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не допускает использование целевых ориентиров дошкольного образования для непосредственной оценки реальных достижений детей. Целевые ориентиры, представленные в </w:t>
      </w:r>
      <w:hyperlink r:id="rId72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статье 4.6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Стандарта, отражают согласованные ожидания общества относительно дошкольного детства и представляют собой возрастной портрет ребенка, который не может быть непосредственно применен к отдельному ребенку.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Комментарии к </w:t>
      </w:r>
      <w:hyperlink r:id="rId73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разделу IV пункта 4.5</w:t>
        </w:r>
      </w:hyperlink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 xml:space="preserve">В </w:t>
      </w:r>
      <w:hyperlink r:id="rId74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пункте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t xml:space="preserve"> содержится запрет на использование целевых ориентиров для решения ряда управленческих задач. Основанием для такого запрета является характер целевых ориентиров, которые не предполагают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контроля за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достижением конкретных образовательных результатов детей. </w:t>
      </w:r>
      <w:proofErr w:type="gramStart"/>
      <w:r w:rsidRPr="002A580A">
        <w:rPr>
          <w:rFonts w:ascii="Times New Roman" w:eastAsia="Times New Roman" w:hAnsi="Times New Roman"/>
          <w:sz w:val="24"/>
          <w:szCs w:val="24"/>
        </w:rPr>
        <w:t>Контроль за</w:t>
      </w:r>
      <w:proofErr w:type="gramEnd"/>
      <w:r w:rsidRPr="002A580A">
        <w:rPr>
          <w:rFonts w:ascii="Times New Roman" w:eastAsia="Times New Roman" w:hAnsi="Times New Roman"/>
          <w:sz w:val="24"/>
          <w:szCs w:val="24"/>
        </w:rPr>
        <w:t xml:space="preserve"> образовательной деятельностью в рамках реализации Программы в Организации осуществляется не за образовательными результатами детей, а за условиями ее реализации, которые и способствуют достижению детьми определенных образовательных результатов.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Оценка выполнения муниципального (государственного) задания должна строиться на основании критериев, характеризующих создаваемые учреждением условия при реализации Программы. При расчете критериев, используемых для оценки выполнения бюджетных заданий, запрещается использовать показатели, соотносимые с характеристиками воспитанников организации.</w:t>
      </w:r>
    </w:p>
    <w:p w:rsidR="002862D6" w:rsidRPr="002A580A" w:rsidRDefault="002862D6" w:rsidP="002862D6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t>Используемые в Организациях критерии для оценки эффективности деятельности отдельных работников должны быть построены на показателях, характеризующих создаваемые ими условия при реализации образовательной программы. Запрещается использовать показатели, соотносимые с характеристиками воспитанников Организации.</w:t>
      </w:r>
    </w:p>
    <w:p w:rsidR="002862D6" w:rsidRPr="002A580A" w:rsidRDefault="002862D6" w:rsidP="002862D6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A580A">
        <w:rPr>
          <w:rFonts w:ascii="Times New Roman" w:eastAsia="Times New Roman" w:hAnsi="Times New Roman"/>
          <w:sz w:val="24"/>
          <w:szCs w:val="24"/>
        </w:rPr>
        <w:br/>
      </w:r>
      <w:r w:rsidRPr="002A580A">
        <w:rPr>
          <w:rFonts w:ascii="Times New Roman" w:eastAsia="Times New Roman" w:hAnsi="Times New Roman"/>
          <w:sz w:val="24"/>
          <w:szCs w:val="24"/>
        </w:rPr>
        <w:br/>
      </w:r>
      <w:hyperlink r:id="rId75" w:history="1">
        <w:r w:rsidRPr="002A580A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http://www.consultant.ru/document/cons_doc_LAW_161801/</w:t>
        </w:r>
      </w:hyperlink>
      <w:r w:rsidRPr="002A580A">
        <w:rPr>
          <w:rFonts w:ascii="Times New Roman" w:eastAsia="Times New Roman" w:hAnsi="Times New Roman"/>
          <w:sz w:val="24"/>
          <w:szCs w:val="24"/>
        </w:rPr>
        <w:br/>
        <w:t>© КонсультантПлюс, 1992-2014</w:t>
      </w:r>
    </w:p>
    <w:p w:rsidR="002862D6" w:rsidRDefault="002862D6" w:rsidP="002862D6"/>
    <w:p w:rsidR="00625A74" w:rsidRDefault="00625A74"/>
    <w:sectPr w:rsidR="00625A74" w:rsidSect="001D5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62D6"/>
    <w:rsid w:val="002862D6"/>
    <w:rsid w:val="00625A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onsultant.ru/document/cons_doc_LAW_165984/?dst=100022" TargetMode="External"/><Relationship Id="rId18" Type="http://schemas.openxmlformats.org/officeDocument/2006/relationships/hyperlink" Target="http://www.consultant.ru/document/cons_doc_LAW_154637/?dst=100076" TargetMode="External"/><Relationship Id="rId26" Type="http://schemas.openxmlformats.org/officeDocument/2006/relationships/hyperlink" Target="http://www.consultant.ru/document/cons_doc_LAW_154637/?dst=100104" TargetMode="External"/><Relationship Id="rId39" Type="http://schemas.openxmlformats.org/officeDocument/2006/relationships/hyperlink" Target="http://www.consultant.ru/document/cons_doc_LAW_154637/?dst=100167" TargetMode="External"/><Relationship Id="rId21" Type="http://schemas.openxmlformats.org/officeDocument/2006/relationships/hyperlink" Target="http://www.consultant.ru/document/cons_doc_LAW_165984/?dst=100227" TargetMode="External"/><Relationship Id="rId34" Type="http://schemas.openxmlformats.org/officeDocument/2006/relationships/hyperlink" Target="http://www.consultant.ru/document/cons_doc_LAW_164915/?dst=100088" TargetMode="External"/><Relationship Id="rId42" Type="http://schemas.openxmlformats.org/officeDocument/2006/relationships/hyperlink" Target="http://www.consultant.ru/document/cons_doc_LAW_153650/?dst=100011" TargetMode="External"/><Relationship Id="rId47" Type="http://schemas.openxmlformats.org/officeDocument/2006/relationships/hyperlink" Target="http://www.consultant.ru/document/cons_doc_LAW_154637/?dst=100194" TargetMode="External"/><Relationship Id="rId50" Type="http://schemas.openxmlformats.org/officeDocument/2006/relationships/hyperlink" Target="http://www.consultant.ru/document/cons_doc_LAW_165984/?dst=101038" TargetMode="External"/><Relationship Id="rId55" Type="http://schemas.openxmlformats.org/officeDocument/2006/relationships/hyperlink" Target="http://www.consultant.ru/document/cons_doc_LAW_154637/?dst=100212" TargetMode="External"/><Relationship Id="rId63" Type="http://schemas.openxmlformats.org/officeDocument/2006/relationships/hyperlink" Target="http://www.consultant.ru/document/cons_doc_LAW_154637/?dst=100240" TargetMode="External"/><Relationship Id="rId68" Type="http://schemas.openxmlformats.org/officeDocument/2006/relationships/hyperlink" Target="http://www.consultant.ru/document/cons_doc_LAW_154979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consultant.ru/document/cons_doc_LAW_161801/" TargetMode="External"/><Relationship Id="rId71" Type="http://schemas.openxmlformats.org/officeDocument/2006/relationships/hyperlink" Target="http://www.consultant.ru/document/cons_doc_LAW_165984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onsultant.ru/document/cons_doc_LAW_154637/?dst=100107" TargetMode="External"/><Relationship Id="rId29" Type="http://schemas.openxmlformats.org/officeDocument/2006/relationships/hyperlink" Target="http://www.consultant.ru/document/cons_doc_LAW_154637/?dst=100145" TargetMode="External"/><Relationship Id="rId11" Type="http://schemas.openxmlformats.org/officeDocument/2006/relationships/hyperlink" Target="http://www.consultant.ru/document/cons_doc_LAW_154637/?dst=100071" TargetMode="External"/><Relationship Id="rId24" Type="http://schemas.openxmlformats.org/officeDocument/2006/relationships/hyperlink" Target="http://www.consultant.ru/document/cons_doc_LAW_154637/?dst=100094" TargetMode="External"/><Relationship Id="rId32" Type="http://schemas.openxmlformats.org/officeDocument/2006/relationships/hyperlink" Target="http://www.consultant.ru/document/cons_doc_LAW_154637/?dst=100241" TargetMode="External"/><Relationship Id="rId37" Type="http://schemas.openxmlformats.org/officeDocument/2006/relationships/hyperlink" Target="http://www.consultant.ru/document/cons_doc_LAW_154637/?dst=100167" TargetMode="External"/><Relationship Id="rId40" Type="http://schemas.openxmlformats.org/officeDocument/2006/relationships/hyperlink" Target="http://www.consultant.ru/document/cons_doc_LAW_154637/?dst=100060" TargetMode="External"/><Relationship Id="rId45" Type="http://schemas.openxmlformats.org/officeDocument/2006/relationships/hyperlink" Target="http://www.consultant.ru/document/cons_doc_LAW_154637/?dst=100174" TargetMode="External"/><Relationship Id="rId53" Type="http://schemas.openxmlformats.org/officeDocument/2006/relationships/hyperlink" Target="http://www.consultant.ru/document/cons_doc_LAW_154637/?dst=100233" TargetMode="External"/><Relationship Id="rId58" Type="http://schemas.openxmlformats.org/officeDocument/2006/relationships/hyperlink" Target="http://www.consultant.ru/document/cons_doc_LAW_150570/?dst=100009" TargetMode="External"/><Relationship Id="rId66" Type="http://schemas.openxmlformats.org/officeDocument/2006/relationships/hyperlink" Target="http://www.consultant.ru/document/cons_doc_LAW_154637/?dst=100240" TargetMode="External"/><Relationship Id="rId74" Type="http://schemas.openxmlformats.org/officeDocument/2006/relationships/hyperlink" Target="http://www.consultant.ru/document/cons_doc_LAW_154637/?dst=100279" TargetMode="External"/><Relationship Id="rId5" Type="http://schemas.openxmlformats.org/officeDocument/2006/relationships/hyperlink" Target="http://www.consultant.ru/document/cons_doc_LAW_161801/" TargetMode="External"/><Relationship Id="rId15" Type="http://schemas.openxmlformats.org/officeDocument/2006/relationships/hyperlink" Target="http://www.consultant.ru/document/cons_doc_LAW_154637/?dst=100137" TargetMode="External"/><Relationship Id="rId23" Type="http://schemas.openxmlformats.org/officeDocument/2006/relationships/hyperlink" Target="http://www.consultant.ru/document/cons_doc_LAW_160974/" TargetMode="External"/><Relationship Id="rId28" Type="http://schemas.openxmlformats.org/officeDocument/2006/relationships/hyperlink" Target="http://www.consultant.ru/document/cons_doc_LAW_154637/?dst=100106" TargetMode="External"/><Relationship Id="rId36" Type="http://schemas.openxmlformats.org/officeDocument/2006/relationships/hyperlink" Target="http://www.consultant.ru/document/cons_doc_LAW_13066/?dst=100047" TargetMode="External"/><Relationship Id="rId49" Type="http://schemas.openxmlformats.org/officeDocument/2006/relationships/hyperlink" Target="http://www.consultant.ru/document/cons_doc_LAW_154637/?dst=100197" TargetMode="External"/><Relationship Id="rId57" Type="http://schemas.openxmlformats.org/officeDocument/2006/relationships/hyperlink" Target="http://www.consultant.ru/document/cons_doc_LAW_154637/?dst=100235" TargetMode="External"/><Relationship Id="rId61" Type="http://schemas.openxmlformats.org/officeDocument/2006/relationships/hyperlink" Target="http://www.consultant.ru/document/cons_doc_LAW_165984/?dst=100381" TargetMode="External"/><Relationship Id="rId10" Type="http://schemas.openxmlformats.org/officeDocument/2006/relationships/hyperlink" Target="http://www.consultant.ru/document/cons_doc_LAW_154637/?dst=100071" TargetMode="External"/><Relationship Id="rId19" Type="http://schemas.openxmlformats.org/officeDocument/2006/relationships/hyperlink" Target="http://www.consultant.ru/document/cons_doc_LAW_165984/?dst=100214" TargetMode="External"/><Relationship Id="rId31" Type="http://schemas.openxmlformats.org/officeDocument/2006/relationships/hyperlink" Target="http://www.consultant.ru/document/cons_doc_LAW_154637/?dst=100166" TargetMode="External"/><Relationship Id="rId44" Type="http://schemas.openxmlformats.org/officeDocument/2006/relationships/hyperlink" Target="http://www.consultant.ru/document/cons_doc_LAW_153650/?dst=100074" TargetMode="External"/><Relationship Id="rId52" Type="http://schemas.openxmlformats.org/officeDocument/2006/relationships/hyperlink" Target="http://www.consultant.ru/document/cons_doc_LAW_153650/" TargetMode="External"/><Relationship Id="rId60" Type="http://schemas.openxmlformats.org/officeDocument/2006/relationships/hyperlink" Target="http://www.consultant.ru/document/cons_doc_LAW_165984/?dst=100380" TargetMode="External"/><Relationship Id="rId65" Type="http://schemas.openxmlformats.org/officeDocument/2006/relationships/hyperlink" Target="http://www.consultant.ru/document/cons_doc_LAW_154637/?dst=100240" TargetMode="External"/><Relationship Id="rId73" Type="http://schemas.openxmlformats.org/officeDocument/2006/relationships/hyperlink" Target="http://www.consultant.ru/document/cons_doc_LAW_154637/?dst=100279" TargetMode="External"/><Relationship Id="rId4" Type="http://schemas.openxmlformats.org/officeDocument/2006/relationships/hyperlink" Target="http://www.consultant.ru/document/cons_doc_EXP_577937/?dst=100051" TargetMode="External"/><Relationship Id="rId9" Type="http://schemas.openxmlformats.org/officeDocument/2006/relationships/hyperlink" Target="http://www.consultant.ru/document/cons_doc_LAW_154637/?dst=100030" TargetMode="External"/><Relationship Id="rId14" Type="http://schemas.openxmlformats.org/officeDocument/2006/relationships/hyperlink" Target="http://www.consultant.ru/document/cons_doc_LAW_154637/?dst=100137" TargetMode="External"/><Relationship Id="rId22" Type="http://schemas.openxmlformats.org/officeDocument/2006/relationships/hyperlink" Target="http://www.consultant.ru/document/cons_doc_LAW_165984/?dst=100214" TargetMode="External"/><Relationship Id="rId27" Type="http://schemas.openxmlformats.org/officeDocument/2006/relationships/hyperlink" Target="http://www.consultant.ru/document/cons_doc_LAW_154637/?dst=100104" TargetMode="External"/><Relationship Id="rId30" Type="http://schemas.openxmlformats.org/officeDocument/2006/relationships/hyperlink" Target="http://www.consultant.ru/document/cons_doc_LAW_154637/?dst=100145" TargetMode="External"/><Relationship Id="rId35" Type="http://schemas.openxmlformats.org/officeDocument/2006/relationships/hyperlink" Target="http://www.consultant.ru/document/cons_doc_LAW_148602/?dst=100100" TargetMode="External"/><Relationship Id="rId43" Type="http://schemas.openxmlformats.org/officeDocument/2006/relationships/hyperlink" Target="http://www.consultant.ru/document/cons_doc_LAW_153650/?dst=100027" TargetMode="External"/><Relationship Id="rId48" Type="http://schemas.openxmlformats.org/officeDocument/2006/relationships/hyperlink" Target="http://www.consultant.ru/document/cons_doc_LAW_165984/?dst=101342" TargetMode="External"/><Relationship Id="rId56" Type="http://schemas.openxmlformats.org/officeDocument/2006/relationships/hyperlink" Target="http://www.consultant.ru/document/cons_doc_LAW_154979/?dst=100008" TargetMode="External"/><Relationship Id="rId64" Type="http://schemas.openxmlformats.org/officeDocument/2006/relationships/hyperlink" Target="http://www.consultant.ru/document/cons_doc_LAW_154637/?dst=100241" TargetMode="External"/><Relationship Id="rId69" Type="http://schemas.openxmlformats.org/officeDocument/2006/relationships/hyperlink" Target="http://www.consultant.ru/document/cons_doc_LAW_154637/?dst=100267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consultant.ru/document/cons_doc_LAW_154637/?dst=100030" TargetMode="External"/><Relationship Id="rId51" Type="http://schemas.openxmlformats.org/officeDocument/2006/relationships/hyperlink" Target="http://www.consultant.ru/document/cons_doc_LAW_164915/?dst=100063" TargetMode="External"/><Relationship Id="rId72" Type="http://schemas.openxmlformats.org/officeDocument/2006/relationships/hyperlink" Target="http://www.consultant.ru/document/cons_doc_LAW_154637/?dst=100285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onsultant.ru/document/cons_doc_LAW_152697/?dst=100041" TargetMode="External"/><Relationship Id="rId17" Type="http://schemas.openxmlformats.org/officeDocument/2006/relationships/hyperlink" Target="http://www.consultant.ru/document/cons_doc_LAW_154637/?dst=100076" TargetMode="External"/><Relationship Id="rId25" Type="http://schemas.openxmlformats.org/officeDocument/2006/relationships/hyperlink" Target="http://www.consultant.ru/document/cons_doc_LAW_154637/?dst=100094" TargetMode="External"/><Relationship Id="rId33" Type="http://schemas.openxmlformats.org/officeDocument/2006/relationships/hyperlink" Target="http://www.consultant.ru/document/cons_doc_LAW_165984/?dst=101040" TargetMode="External"/><Relationship Id="rId38" Type="http://schemas.openxmlformats.org/officeDocument/2006/relationships/hyperlink" Target="http://www.consultant.ru/document/cons_doc_LAW_154637/?dst=100167" TargetMode="External"/><Relationship Id="rId46" Type="http://schemas.openxmlformats.org/officeDocument/2006/relationships/hyperlink" Target="http://www.consultant.ru/document/cons_doc_LAW_149438/?dst=100045" TargetMode="External"/><Relationship Id="rId59" Type="http://schemas.openxmlformats.org/officeDocument/2006/relationships/hyperlink" Target="http://www.consultant.ru/document/cons_doc_LAW_116278/" TargetMode="External"/><Relationship Id="rId67" Type="http://schemas.openxmlformats.org/officeDocument/2006/relationships/hyperlink" Target="http://www.consultant.ru/document/cons_doc_LAW_154637/?dst=100253" TargetMode="External"/><Relationship Id="rId20" Type="http://schemas.openxmlformats.org/officeDocument/2006/relationships/hyperlink" Target="http://www.consultant.ru/document/cons_doc_LAW_154637/?dst=100076" TargetMode="External"/><Relationship Id="rId41" Type="http://schemas.openxmlformats.org/officeDocument/2006/relationships/hyperlink" Target="http://www.consultant.ru/document/cons_doc_LAW_165984/?dst=101300" TargetMode="External"/><Relationship Id="rId54" Type="http://schemas.openxmlformats.org/officeDocument/2006/relationships/hyperlink" Target="http://www.consultant.ru/document/cons_doc_LAW_165984/?dst=100383" TargetMode="External"/><Relationship Id="rId62" Type="http://schemas.openxmlformats.org/officeDocument/2006/relationships/hyperlink" Target="http://www.consultant.ru/document/cons_doc_LAW_154637/?dst=100235" TargetMode="External"/><Relationship Id="rId70" Type="http://schemas.openxmlformats.org/officeDocument/2006/relationships/hyperlink" Target="http://www.consultant.ru/document/cons_doc_LAW_154637/?dst=100267" TargetMode="External"/><Relationship Id="rId75" Type="http://schemas.openxmlformats.org/officeDocument/2006/relationships/hyperlink" Target="http://www.consultant.ru/document/cons_doc_LAW_161801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154637/?dst=1000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5603</Words>
  <Characters>31939</Characters>
  <Application>Microsoft Office Word</Application>
  <DocSecurity>0</DocSecurity>
  <Lines>266</Lines>
  <Paragraphs>74</Paragraphs>
  <ScaleCrop>false</ScaleCrop>
  <Company>Reanimator Extreme Edition</Company>
  <LinksUpToDate>false</LinksUpToDate>
  <CharactersWithSpaces>37468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2</cp:revision>
  <dcterms:created xsi:type="dcterms:W3CDTF">2020-02-24T18:32:00Z</dcterms:created>
  <dcterms:modified xsi:type="dcterms:W3CDTF">2020-02-24T18:33:00Z</dcterms:modified>
</cp:coreProperties>
</file>